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C87" w:rsidRPr="00F13C87" w:rsidRDefault="00F13C87" w:rsidP="00F13C87">
      <w:pPr>
        <w:rPr>
          <w:b/>
        </w:rPr>
      </w:pPr>
      <w:r w:rsidRPr="00F13C87">
        <w:rPr>
          <w:b/>
        </w:rPr>
        <w:t xml:space="preserve">Coordination of the National Information System Statistical and Geographic </w:t>
      </w:r>
    </w:p>
    <w:p w:rsidR="00F13C87" w:rsidRPr="00F13C87" w:rsidRDefault="00F13C87" w:rsidP="00F13C87">
      <w:r w:rsidRPr="00F13C87">
        <w:rPr>
          <w:b/>
        </w:rPr>
        <w:t>Country</w:t>
      </w:r>
    </w:p>
    <w:tbl>
      <w:tblPr>
        <w:tblStyle w:val="TableGrid"/>
        <w:tblW w:w="0" w:type="auto"/>
        <w:tblLook w:val="04A0" w:firstRow="1" w:lastRow="0" w:firstColumn="1" w:lastColumn="0" w:noHBand="0" w:noVBand="1"/>
      </w:tblPr>
      <w:tblGrid>
        <w:gridCol w:w="9016"/>
      </w:tblGrid>
      <w:tr w:rsidR="00F13C87" w:rsidRPr="00F13C87" w:rsidTr="00A81DF7">
        <w:tc>
          <w:tcPr>
            <w:tcW w:w="9016" w:type="dxa"/>
          </w:tcPr>
          <w:p w:rsidR="00F13C87" w:rsidRPr="00F13C87" w:rsidRDefault="00F13C87" w:rsidP="00F13C87">
            <w:pPr>
              <w:spacing w:after="160" w:line="259" w:lineRule="auto"/>
              <w:rPr>
                <w:b/>
              </w:rPr>
            </w:pPr>
            <w:r w:rsidRPr="00F13C87">
              <w:t>Mexico</w:t>
            </w:r>
          </w:p>
        </w:tc>
      </w:tr>
    </w:tbl>
    <w:p w:rsidR="00F13C87" w:rsidRPr="00F13C87" w:rsidRDefault="00F13C87" w:rsidP="00F13C87">
      <w:pPr>
        <w:rPr>
          <w:b/>
        </w:rPr>
      </w:pPr>
    </w:p>
    <w:p w:rsidR="00F13C87" w:rsidRPr="00F13C87" w:rsidRDefault="00F13C87" w:rsidP="00F13C87">
      <w:r w:rsidRPr="00F13C87">
        <w:rPr>
          <w:b/>
        </w:rPr>
        <w:t>Type NIA-instrument</w:t>
      </w:r>
    </w:p>
    <w:tbl>
      <w:tblPr>
        <w:tblStyle w:val="TableGrid"/>
        <w:tblW w:w="0" w:type="auto"/>
        <w:tblLook w:val="04A0" w:firstRow="1" w:lastRow="0" w:firstColumn="1" w:lastColumn="0" w:noHBand="0" w:noVBand="1"/>
      </w:tblPr>
      <w:tblGrid>
        <w:gridCol w:w="9016"/>
      </w:tblGrid>
      <w:tr w:rsidR="00F13C87" w:rsidRPr="00F13C87" w:rsidTr="00A81DF7">
        <w:tc>
          <w:tcPr>
            <w:tcW w:w="9016" w:type="dxa"/>
          </w:tcPr>
          <w:p w:rsidR="00F13C87" w:rsidRPr="00F13C87" w:rsidRDefault="00F13C87" w:rsidP="00F13C87">
            <w:pPr>
              <w:spacing w:after="160" w:line="259" w:lineRule="auto"/>
            </w:pPr>
            <w:r w:rsidRPr="00F13C87">
              <w:t>S1. Establishment of coordinating functions or entities</w:t>
            </w:r>
          </w:p>
        </w:tc>
      </w:tr>
    </w:tbl>
    <w:p w:rsidR="00F13C87" w:rsidRPr="00F13C87" w:rsidRDefault="00F13C87" w:rsidP="00F13C87">
      <w:pPr>
        <w:rPr>
          <w:b/>
        </w:rPr>
      </w:pPr>
    </w:p>
    <w:p w:rsidR="00F13C87" w:rsidRPr="00F13C87" w:rsidRDefault="00F13C87" w:rsidP="00F13C87">
      <w:r w:rsidRPr="00F13C87">
        <w:rPr>
          <w:b/>
        </w:rPr>
        <w:t>Aim</w:t>
      </w:r>
    </w:p>
    <w:tbl>
      <w:tblPr>
        <w:tblStyle w:val="TableGrid"/>
        <w:tblW w:w="0" w:type="auto"/>
        <w:tblLook w:val="04A0" w:firstRow="1" w:lastRow="0" w:firstColumn="1" w:lastColumn="0" w:noHBand="0" w:noVBand="1"/>
      </w:tblPr>
      <w:tblGrid>
        <w:gridCol w:w="9016"/>
      </w:tblGrid>
      <w:tr w:rsidR="00F13C87" w:rsidRPr="00F13C87" w:rsidTr="00A81DF7">
        <w:tc>
          <w:tcPr>
            <w:tcW w:w="9016" w:type="dxa"/>
          </w:tcPr>
          <w:p w:rsidR="00F13C87" w:rsidRPr="00F13C87" w:rsidRDefault="00F13C87" w:rsidP="00F13C87">
            <w:pPr>
              <w:spacing w:after="160" w:line="259" w:lineRule="auto"/>
            </w:pPr>
            <w:r w:rsidRPr="00F13C87">
              <w:t>Establish the participation, organization, scope and responsibilities of the actors involved in the generation, acquisition, integration, process, distribution and conservation of information and statistics and geography, which supports the national development.</w:t>
            </w:r>
          </w:p>
        </w:tc>
      </w:tr>
    </w:tbl>
    <w:p w:rsidR="00F13C87" w:rsidRPr="00F13C87" w:rsidRDefault="00F13C87" w:rsidP="00F13C87">
      <w:pPr>
        <w:rPr>
          <w:b/>
        </w:rPr>
      </w:pPr>
    </w:p>
    <w:p w:rsidR="00F13C87" w:rsidRPr="00F13C87" w:rsidRDefault="00F13C87" w:rsidP="00F13C87">
      <w:r w:rsidRPr="00F13C87">
        <w:rPr>
          <w:b/>
        </w:rPr>
        <w:t>NIA-instrument description</w:t>
      </w:r>
    </w:p>
    <w:tbl>
      <w:tblPr>
        <w:tblStyle w:val="TableGrid"/>
        <w:tblW w:w="0" w:type="auto"/>
        <w:tblLook w:val="04A0" w:firstRow="1" w:lastRow="0" w:firstColumn="1" w:lastColumn="0" w:noHBand="0" w:noVBand="1"/>
      </w:tblPr>
      <w:tblGrid>
        <w:gridCol w:w="9016"/>
      </w:tblGrid>
      <w:tr w:rsidR="00F13C87" w:rsidRPr="00F13C87" w:rsidTr="00A81DF7">
        <w:tc>
          <w:tcPr>
            <w:tcW w:w="9016" w:type="dxa"/>
          </w:tcPr>
          <w:p w:rsidR="00F13C87" w:rsidRPr="00F13C87" w:rsidRDefault="00F13C87" w:rsidP="00F13C87">
            <w:pPr>
              <w:spacing w:after="160" w:line="259" w:lineRule="auto"/>
            </w:pPr>
            <w:r w:rsidRPr="00F13C87">
              <mc:AlternateContent>
                <mc:Choice Requires="wps">
                  <w:drawing>
                    <wp:anchor distT="0" distB="0" distL="114300" distR="114300" simplePos="0" relativeHeight="251660288" behindDoc="1" locked="0" layoutInCell="1" allowOverlap="1" wp14:anchorId="699F009B" wp14:editId="13E73365">
                      <wp:simplePos x="0" y="0"/>
                      <wp:positionH relativeFrom="column">
                        <wp:posOffset>2327276</wp:posOffset>
                      </wp:positionH>
                      <wp:positionV relativeFrom="paragraph">
                        <wp:posOffset>-1323340</wp:posOffset>
                      </wp:positionV>
                      <wp:extent cx="1828800" cy="1828800"/>
                      <wp:effectExtent l="1238250" t="0" r="1338580" b="0"/>
                      <wp:wrapNone/>
                      <wp:docPr id="2" name="Text Box 2"/>
                      <wp:cNvGraphicFramePr/>
                      <a:graphic xmlns:a="http://schemas.openxmlformats.org/drawingml/2006/main">
                        <a:graphicData uri="http://schemas.microsoft.com/office/word/2010/wordprocessingShape">
                          <wps:wsp>
                            <wps:cNvSpPr txBox="1"/>
                            <wps:spPr>
                              <a:xfrm rot="3271695">
                                <a:off x="0" y="0"/>
                                <a:ext cx="1828800" cy="1828800"/>
                              </a:xfrm>
                              <a:prstGeom prst="rect">
                                <a:avLst/>
                              </a:prstGeom>
                              <a:noFill/>
                              <a:ln>
                                <a:noFill/>
                              </a:ln>
                            </wps:spPr>
                            <wps:txbx>
                              <w:txbxContent>
                                <w:p w:rsidR="00F13C87" w:rsidRPr="001231FB" w:rsidRDefault="00F13C87" w:rsidP="00F13C87">
                                  <w:pPr>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SAMPLE GOOD PRACTICE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99F009B" id="_x0000_t202" coordsize="21600,21600" o:spt="202" path="m,l,21600r21600,l21600,xe">
                      <v:stroke joinstyle="miter"/>
                      <v:path gradientshapeok="t" o:connecttype="rect"/>
                    </v:shapetype>
                    <v:shape id="Text Box 2" o:spid="_x0000_s1026" type="#_x0000_t202" style="position:absolute;margin-left:183.25pt;margin-top:-104.2pt;width:2in;height:2in;rotation:3573563fd;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" filled="f" stroked="f">
                      <v:fill o:detectmouseclick="t"/>
                      <v:textbox style="mso-fit-shape-to-text:t">
                        <w:txbxContent>
                          <w:p w:rsidR="00F13C87" w:rsidRPr="001231FB" w:rsidRDefault="00F13C87" w:rsidP="00F13C87">
                            <w:pPr>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SAMPLE GOOD PRACTICE</w:t>
                            </w:r>
                          </w:p>
                        </w:txbxContent>
                      </v:textbox>
                    </v:shape>
                  </w:pict>
                </mc:Fallback>
              </mc:AlternateContent>
            </w:r>
            <w:r w:rsidRPr="00F13C87">
              <w:t xml:space="preserve">The National Information System Statistical and Geographic is defined as the set of State Entities organized through Subsystems, coordinated by </w:t>
            </w:r>
            <w:proofErr w:type="spellStart"/>
            <w:r w:rsidRPr="00F13C87">
              <w:t>INEGI</w:t>
            </w:r>
            <w:proofErr w:type="spellEnd"/>
            <w:r w:rsidRPr="00F13C87">
              <w:t xml:space="preserve"> and articulated by the National Information Network, </w:t>
            </w:r>
            <w:proofErr w:type="gramStart"/>
            <w:r w:rsidRPr="00F13C87">
              <w:t>in order to</w:t>
            </w:r>
            <w:proofErr w:type="gramEnd"/>
            <w:r w:rsidRPr="00F13C87">
              <w:t xml:space="preserve"> produce and disseminate Information of National Interest.</w:t>
            </w:r>
          </w:p>
          <w:p w:rsidR="00F13C87" w:rsidRPr="00F13C87" w:rsidRDefault="00F13C87" w:rsidP="00F13C87">
            <w:pPr>
              <w:spacing w:after="160" w:line="259" w:lineRule="auto"/>
            </w:pPr>
            <w:r w:rsidRPr="00F13C87">
              <w:t xml:space="preserve">The System is composed by the National Advisory, the National Information Subsystems and </w:t>
            </w:r>
            <w:proofErr w:type="spellStart"/>
            <w:r w:rsidRPr="00F13C87">
              <w:t>INEGI</w:t>
            </w:r>
            <w:proofErr w:type="spellEnd"/>
            <w:r w:rsidRPr="00F13C87">
              <w:t xml:space="preserve"> Council as the coordinating agency. The latter directed by a Governing Board (consisting of a President and four Vice-Presidents).</w:t>
            </w:r>
          </w:p>
          <w:p w:rsidR="00F13C87" w:rsidRPr="00F13C87" w:rsidRDefault="00F13C87" w:rsidP="00F13C87">
            <w:pPr>
              <w:spacing w:after="160" w:line="259" w:lineRule="auto"/>
            </w:pPr>
            <w:r w:rsidRPr="00F13C87">
              <w:t>The National Information Subsystems (currently: Demographic and Social, Economic, Geographic and Environment, as well as, government, public security and justice administration) aim to produce, integrate and disseminate information according to their theme(s). The Subsystems have several Specialized Technical Committees (</w:t>
            </w:r>
            <w:proofErr w:type="spellStart"/>
            <w:r w:rsidRPr="00F13C87">
              <w:t>CTE</w:t>
            </w:r>
            <w:proofErr w:type="spellEnd"/>
            <w:r w:rsidRPr="00F13C87">
              <w:t>) coordinated by an Executive Committee Subsystem.</w:t>
            </w:r>
          </w:p>
          <w:p w:rsidR="00F13C87" w:rsidRPr="00F13C87" w:rsidRDefault="00F13C87" w:rsidP="00F13C87">
            <w:pPr>
              <w:spacing w:after="160" w:line="259" w:lineRule="auto"/>
            </w:pPr>
            <w:r w:rsidRPr="00F13C87">
              <w:t xml:space="preserve">The </w:t>
            </w:r>
            <w:proofErr w:type="spellStart"/>
            <w:r w:rsidRPr="00F13C87">
              <w:t>CTE</w:t>
            </w:r>
            <w:proofErr w:type="spellEnd"/>
            <w:r w:rsidRPr="00F13C87">
              <w:t xml:space="preserve"> act as collegiate bodies of participation and consulting created by agreement of the Governing Board of the </w:t>
            </w:r>
            <w:proofErr w:type="spellStart"/>
            <w:r w:rsidRPr="00F13C87">
              <w:t>INEGI</w:t>
            </w:r>
            <w:proofErr w:type="spellEnd"/>
            <w:r w:rsidRPr="00F13C87">
              <w:t xml:space="preserve"> to support the National Information Subsystem to which they are attached; in these participate the so-called “Units </w:t>
            </w:r>
            <w:proofErr w:type="gramStart"/>
            <w:r w:rsidRPr="00F13C87">
              <w:t>of  the</w:t>
            </w:r>
            <w:proofErr w:type="gramEnd"/>
            <w:r w:rsidRPr="00F13C87">
              <w:t xml:space="preserve"> State”, which are administrative areas that have the power to develop and Statistical and Geographic Activities or operate with administrative records to obtain information of National Interest:</w:t>
            </w:r>
          </w:p>
          <w:p w:rsidR="00F13C87" w:rsidRPr="00F13C87" w:rsidRDefault="00F13C87" w:rsidP="00F13C87">
            <w:pPr>
              <w:spacing w:after="160" w:line="259" w:lineRule="auto"/>
            </w:pPr>
            <w:r w:rsidRPr="00F13C87">
              <w:t>a) The agencies of the Federal Government, including those of the Republic Presidency and the Attorney General's Office;</w:t>
            </w:r>
          </w:p>
          <w:p w:rsidR="00F13C87" w:rsidRPr="00F13C87" w:rsidRDefault="00F13C87" w:rsidP="00F13C87">
            <w:pPr>
              <w:spacing w:after="160" w:line="259" w:lineRule="auto"/>
            </w:pPr>
            <w:r w:rsidRPr="00F13C87">
              <w:t>b) The legislative and judicial branches of the Federation;</w:t>
            </w:r>
          </w:p>
          <w:p w:rsidR="00F13C87" w:rsidRPr="00F13C87" w:rsidRDefault="00F13C87" w:rsidP="00F13C87">
            <w:pPr>
              <w:spacing w:after="160" w:line="259" w:lineRule="auto"/>
            </w:pPr>
            <w:r w:rsidRPr="00F13C87">
              <w:t>c) The states and municipalities;</w:t>
            </w:r>
          </w:p>
          <w:p w:rsidR="00F13C87" w:rsidRPr="00F13C87" w:rsidRDefault="00F13C87" w:rsidP="00F13C87">
            <w:pPr>
              <w:spacing w:after="160" w:line="259" w:lineRule="auto"/>
            </w:pPr>
            <w:r w:rsidRPr="00F13C87">
              <w:t>d) The autonomous constitutional bodies, and</w:t>
            </w:r>
          </w:p>
          <w:p w:rsidR="00F13C87" w:rsidRPr="00F13C87" w:rsidRDefault="00F13C87" w:rsidP="00F13C87">
            <w:pPr>
              <w:spacing w:after="160" w:line="259" w:lineRule="auto"/>
            </w:pPr>
            <w:r w:rsidRPr="00F13C87">
              <w:t>e) The federal administrative court.</w:t>
            </w:r>
          </w:p>
          <w:p w:rsidR="00F13C87" w:rsidRPr="00F13C87" w:rsidRDefault="00F13C87" w:rsidP="00F13C87">
            <w:pPr>
              <w:spacing w:after="160" w:line="259" w:lineRule="auto"/>
            </w:pPr>
            <w:r w:rsidRPr="00F13C87">
              <w:t xml:space="preserve">Such Units of State participate -in the scope of its powers- in the System through the National </w:t>
            </w:r>
            <w:r w:rsidRPr="00F13C87">
              <w:lastRenderedPageBreak/>
              <w:t xml:space="preserve">Advisory Council, Executive Committees </w:t>
            </w:r>
            <w:proofErr w:type="gramStart"/>
            <w:r w:rsidRPr="00F13C87">
              <w:t xml:space="preserve">and  </w:t>
            </w:r>
            <w:proofErr w:type="spellStart"/>
            <w:r w:rsidRPr="00F13C87">
              <w:t>CTE</w:t>
            </w:r>
            <w:proofErr w:type="spellEnd"/>
            <w:proofErr w:type="gramEnd"/>
            <w:r w:rsidRPr="00F13C87">
              <w:t xml:space="preserve"> in the definition, development and promotion of implementation of technical standards, indicators, and information of national interest methodologies used to generate the information, taking into account national and international standards and best practices in the field.</w:t>
            </w:r>
          </w:p>
          <w:p w:rsidR="00F13C87" w:rsidRPr="00F13C87" w:rsidRDefault="00F13C87" w:rsidP="00F13C87">
            <w:pPr>
              <w:spacing w:after="160" w:line="259" w:lineRule="auto"/>
            </w:pPr>
            <w:r w:rsidRPr="00F13C87">
              <w:t xml:space="preserve">Likewise, at state level, creating committees of Statistics and Geographical Information as bodies that allow for greater coordination among agencies generators and users of information at different levels of government, academia and the private initiative, promotes </w:t>
            </w:r>
            <w:proofErr w:type="gramStart"/>
            <w:r w:rsidRPr="00F13C87">
              <w:t>in order to</w:t>
            </w:r>
            <w:proofErr w:type="gramEnd"/>
            <w:r w:rsidRPr="00F13C87">
              <w:t xml:space="preserve"> have quality information, relevant, accurate and timely systemically.</w:t>
            </w:r>
          </w:p>
        </w:tc>
      </w:tr>
    </w:tbl>
    <w:p w:rsidR="00F13C87" w:rsidRPr="00F13C87" w:rsidRDefault="00F13C87" w:rsidP="00F13C87">
      <w:pPr>
        <w:rPr>
          <w:b/>
        </w:rPr>
      </w:pPr>
      <w:r w:rsidRPr="00F13C87">
        <w:lastRenderedPageBreak/>
        <mc:AlternateContent>
          <mc:Choice Requires="wps">
            <w:drawing>
              <wp:anchor distT="0" distB="0" distL="114300" distR="114300" simplePos="0" relativeHeight="251659264" behindDoc="1" locked="0" layoutInCell="1" allowOverlap="1" wp14:anchorId="27AB718D" wp14:editId="772FE91D">
                <wp:simplePos x="0" y="0"/>
                <wp:positionH relativeFrom="column">
                  <wp:posOffset>2247900</wp:posOffset>
                </wp:positionH>
                <wp:positionV relativeFrom="paragraph">
                  <wp:posOffset>-1304926</wp:posOffset>
                </wp:positionV>
                <wp:extent cx="1828800" cy="1828800"/>
                <wp:effectExtent l="1238250" t="0" r="1338580" b="0"/>
                <wp:wrapNone/>
                <wp:docPr id="1" name="Text Box 1"/>
                <wp:cNvGraphicFramePr/>
                <a:graphic xmlns:a="http://schemas.openxmlformats.org/drawingml/2006/main">
                  <a:graphicData uri="http://schemas.microsoft.com/office/word/2010/wordprocessingShape">
                    <wps:wsp>
                      <wps:cNvSpPr txBox="1"/>
                      <wps:spPr>
                        <a:xfrm rot="3271695">
                          <a:off x="0" y="0"/>
                          <a:ext cx="1828800" cy="1828800"/>
                        </a:xfrm>
                        <a:prstGeom prst="rect">
                          <a:avLst/>
                        </a:prstGeom>
                        <a:noFill/>
                        <a:ln>
                          <a:noFill/>
                        </a:ln>
                      </wps:spPr>
                      <wps:txbx>
                        <w:txbxContent>
                          <w:p w:rsidR="00F13C87" w:rsidRPr="001231FB" w:rsidRDefault="00F13C87" w:rsidP="00F13C87">
                            <w:pPr>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SAMPLE GOOD PRACTICE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7AB718D" id="Text Box 1" o:spid="_x0000_s1027" type="#_x0000_t202" style="position:absolute;margin-left:177pt;margin-top:-102.75pt;width:2in;height:2in;rotation:3573563fd;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" filled="f" stroked="f">
                <v:fill o:detectmouseclick="t"/>
                <v:textbox style="mso-fit-shape-to-text:t">
                  <w:txbxContent>
                    <w:p w:rsidR="00F13C87" w:rsidRPr="001231FB" w:rsidRDefault="00F13C87" w:rsidP="00F13C87">
                      <w:pPr>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SAMPLE GOOD PRACTICE</w:t>
                      </w:r>
                    </w:p>
                  </w:txbxContent>
                </v:textbox>
              </v:shape>
            </w:pict>
          </mc:Fallback>
        </mc:AlternateContent>
      </w:r>
    </w:p>
    <w:p w:rsidR="00F13C87" w:rsidRPr="00F13C87" w:rsidRDefault="00F13C87" w:rsidP="00F13C87">
      <w:r w:rsidRPr="00F13C87">
        <w:rPr>
          <w:b/>
        </w:rPr>
        <w:t>Background</w:t>
      </w:r>
    </w:p>
    <w:tbl>
      <w:tblPr>
        <w:tblStyle w:val="TableGrid"/>
        <w:tblW w:w="0" w:type="auto"/>
        <w:tblLook w:val="04A0" w:firstRow="1" w:lastRow="0" w:firstColumn="1" w:lastColumn="0" w:noHBand="0" w:noVBand="1"/>
      </w:tblPr>
      <w:tblGrid>
        <w:gridCol w:w="9016"/>
      </w:tblGrid>
      <w:tr w:rsidR="00F13C87" w:rsidRPr="00F13C87" w:rsidTr="00A81DF7">
        <w:tc>
          <w:tcPr>
            <w:tcW w:w="9016" w:type="dxa"/>
          </w:tcPr>
          <w:p w:rsidR="00F13C87" w:rsidRPr="00F13C87" w:rsidRDefault="00F13C87" w:rsidP="00F13C87">
            <w:pPr>
              <w:spacing w:after="160" w:line="259" w:lineRule="auto"/>
            </w:pPr>
            <w:r w:rsidRPr="00F13C87">
              <w:t>The National Information System Statistical and Geographic is endorsed by Article 26, subsection B of the Political Constitution of the United Mexican States.</w:t>
            </w:r>
          </w:p>
        </w:tc>
      </w:tr>
    </w:tbl>
    <w:p w:rsidR="00F13C87" w:rsidRPr="00F13C87" w:rsidRDefault="00F13C87" w:rsidP="00F13C87">
      <w:pPr>
        <w:rPr>
          <w:b/>
        </w:rPr>
      </w:pPr>
    </w:p>
    <w:p w:rsidR="00F13C87" w:rsidRPr="00F13C87" w:rsidRDefault="00F13C87" w:rsidP="00F13C87">
      <w:r w:rsidRPr="00F13C87">
        <w:rPr>
          <w:b/>
        </w:rPr>
        <w:t xml:space="preserve">Use </w:t>
      </w:r>
    </w:p>
    <w:tbl>
      <w:tblPr>
        <w:tblStyle w:val="TableGrid"/>
        <w:tblW w:w="0" w:type="auto"/>
        <w:tblLook w:val="04A0" w:firstRow="1" w:lastRow="0" w:firstColumn="1" w:lastColumn="0" w:noHBand="0" w:noVBand="1"/>
      </w:tblPr>
      <w:tblGrid>
        <w:gridCol w:w="9016"/>
      </w:tblGrid>
      <w:tr w:rsidR="00F13C87" w:rsidRPr="00F13C87" w:rsidTr="00A81DF7">
        <w:tc>
          <w:tcPr>
            <w:tcW w:w="9016" w:type="dxa"/>
          </w:tcPr>
          <w:p w:rsidR="00F13C87" w:rsidRPr="00F13C87" w:rsidRDefault="00F13C87" w:rsidP="00F13C87">
            <w:pPr>
              <w:spacing w:after="160" w:line="259" w:lineRule="auto"/>
            </w:pPr>
            <w:r w:rsidRPr="00F13C87">
              <w:t xml:space="preserve">The participation in the System of the Units of the State, identified as such in the country, is given through the organs of competence and consultation defined by the Law, such as National Advisory Council, Executive Committees </w:t>
            </w:r>
            <w:proofErr w:type="gramStart"/>
            <w:r w:rsidRPr="00F13C87">
              <w:t xml:space="preserve">and  </w:t>
            </w:r>
            <w:proofErr w:type="spellStart"/>
            <w:r w:rsidRPr="00F13C87">
              <w:t>CTE</w:t>
            </w:r>
            <w:proofErr w:type="spellEnd"/>
            <w:proofErr w:type="gramEnd"/>
            <w:r w:rsidRPr="00F13C87">
              <w:t>.</w:t>
            </w:r>
          </w:p>
        </w:tc>
      </w:tr>
    </w:tbl>
    <w:p w:rsidR="00F13C87" w:rsidRPr="00F13C87" w:rsidRDefault="00F13C87" w:rsidP="00F13C87">
      <w:pPr>
        <w:rPr>
          <w:b/>
        </w:rPr>
      </w:pPr>
    </w:p>
    <w:p w:rsidR="00F13C87" w:rsidRPr="00F13C87" w:rsidRDefault="00F13C87" w:rsidP="00F13C87">
      <w:r w:rsidRPr="00F13C87">
        <w:rPr>
          <w:b/>
        </w:rPr>
        <w:t>Good practice motivation</w:t>
      </w:r>
    </w:p>
    <w:tbl>
      <w:tblPr>
        <w:tblStyle w:val="TableGrid"/>
        <w:tblW w:w="0" w:type="auto"/>
        <w:tblLook w:val="04A0" w:firstRow="1" w:lastRow="0" w:firstColumn="1" w:lastColumn="0" w:noHBand="0" w:noVBand="1"/>
      </w:tblPr>
      <w:tblGrid>
        <w:gridCol w:w="9016"/>
      </w:tblGrid>
      <w:tr w:rsidR="00F13C87" w:rsidRPr="00F13C87" w:rsidTr="00A81DF7">
        <w:tc>
          <w:tcPr>
            <w:tcW w:w="9016" w:type="dxa"/>
          </w:tcPr>
          <w:p w:rsidR="00F13C87" w:rsidRPr="00F13C87" w:rsidRDefault="00F13C87" w:rsidP="00F13C87">
            <w:pPr>
              <w:spacing w:after="160" w:line="259" w:lineRule="auto"/>
            </w:pPr>
            <w:r w:rsidRPr="00F13C87">
              <w:t xml:space="preserve">The definition and implementation of the system's participation and consultation bodies are considered good practice in relation to NIA, since they establish the cooperation links that contribute to inter-institutional coordination and the implementation of policies, plans and strategies for </w:t>
            </w:r>
            <w:proofErr w:type="gramStart"/>
            <w:r w:rsidRPr="00F13C87">
              <w:t>The</w:t>
            </w:r>
            <w:proofErr w:type="gramEnd"/>
            <w:r w:rsidRPr="00F13C87">
              <w:t xml:space="preserve"> performance of the statistical and geographical activities of the country.</w:t>
            </w:r>
          </w:p>
        </w:tc>
      </w:tr>
    </w:tbl>
    <w:p w:rsidR="00F13C87" w:rsidRPr="00F13C87" w:rsidRDefault="00F13C87" w:rsidP="00F13C87">
      <w:pPr>
        <w:rPr>
          <w:b/>
        </w:rPr>
      </w:pPr>
    </w:p>
    <w:p w:rsidR="00F13C87" w:rsidRPr="00F13C87" w:rsidRDefault="00F13C87" w:rsidP="00F13C87">
      <w:pPr>
        <w:rPr>
          <w:b/>
        </w:rPr>
      </w:pPr>
      <w:r w:rsidRPr="00F13C87">
        <w:rPr>
          <w:lang w:val="en-GB"/>
        </w:rPr>
        <w:drawing>
          <wp:inline distT="0" distB="0" distL="0" distR="0" wp14:anchorId="040EF4E6" wp14:editId="4CD5DCAB">
            <wp:extent cx="3441116" cy="2392070"/>
            <wp:effectExtent l="19050" t="19050" r="26035" b="2730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448075" cy="2396908"/>
                    </a:xfrm>
                    <a:prstGeom prst="rect">
                      <a:avLst/>
                    </a:prstGeom>
                    <a:ln>
                      <a:solidFill>
                        <a:schemeClr val="bg1">
                          <a:lumMod val="65000"/>
                        </a:schemeClr>
                      </a:solidFill>
                    </a:ln>
                  </pic:spPr>
                </pic:pic>
              </a:graphicData>
            </a:graphic>
          </wp:inline>
        </w:drawing>
      </w:r>
    </w:p>
    <w:p w:rsidR="00F13C87" w:rsidRPr="00F13C87" w:rsidRDefault="00F13C87" w:rsidP="00F13C87">
      <w:r w:rsidRPr="00F13C87">
        <w:t>Figure</w:t>
      </w:r>
      <w:r w:rsidRPr="00F13C87">
        <w:rPr>
          <w:b/>
        </w:rPr>
        <w:t xml:space="preserve">: </w:t>
      </w:r>
      <w:r w:rsidRPr="00F13C87">
        <w:t>National Information System Statistical and Geographic</w:t>
      </w:r>
    </w:p>
    <w:p w:rsidR="00F13C87" w:rsidRPr="00F13C87" w:rsidRDefault="00F13C87" w:rsidP="00F13C87">
      <w:r w:rsidRPr="00F13C87">
        <w:lastRenderedPageBreak/>
        <w:t>Official website of the National Statistical and Geographic Information System (</w:t>
      </w:r>
      <w:proofErr w:type="spellStart"/>
      <w:r w:rsidRPr="00F13C87">
        <w:t>SNIEG</w:t>
      </w:r>
      <w:proofErr w:type="spellEnd"/>
      <w:r w:rsidRPr="00F13C87">
        <w:t xml:space="preserve">): </w:t>
      </w:r>
      <w:hyperlink r:id="rId5" w:history="1">
        <w:r w:rsidRPr="00F13C87">
          <w:rPr>
            <w:rStyle w:val="Hyperlink"/>
          </w:rPr>
          <w:t>http://www.snieg.mx</w:t>
        </w:r>
      </w:hyperlink>
    </w:p>
    <w:p w:rsidR="00F13C87" w:rsidRPr="00F13C87" w:rsidRDefault="00F13C87" w:rsidP="00F13C87">
      <w:pPr>
        <w:rPr>
          <w:b/>
        </w:rPr>
      </w:pPr>
    </w:p>
    <w:p w:rsidR="00F13C87" w:rsidRPr="00F13C87" w:rsidRDefault="00F13C87" w:rsidP="00F13C87">
      <w:r w:rsidRPr="00F13C87">
        <w:rPr>
          <w:b/>
        </w:rPr>
        <w:t>Reference</w:t>
      </w:r>
    </w:p>
    <w:p w:rsidR="00F13C87" w:rsidRPr="00F13C87" w:rsidRDefault="00F13C87" w:rsidP="00F13C87"/>
    <w:p w:rsidR="00F13C87" w:rsidRPr="00F13C87" w:rsidRDefault="00F13C87" w:rsidP="00F13C87">
      <w:r w:rsidRPr="00F13C87">
        <w:t>Official website of the National Statistical and Geographic Information System (</w:t>
      </w:r>
      <w:proofErr w:type="spellStart"/>
      <w:r w:rsidRPr="00F13C87">
        <w:t>SNIEG</w:t>
      </w:r>
      <w:proofErr w:type="spellEnd"/>
      <w:r w:rsidRPr="00F13C87">
        <w:t xml:space="preserve">): </w:t>
      </w:r>
      <w:hyperlink r:id="rId6" w:history="1">
        <w:r w:rsidRPr="00F13C87">
          <w:rPr>
            <w:rStyle w:val="Hyperlink"/>
          </w:rPr>
          <w:t>http://www.snieg.mx</w:t>
        </w:r>
      </w:hyperlink>
    </w:p>
    <w:p w:rsidR="00F13C87" w:rsidRPr="00F13C87" w:rsidRDefault="00F13C87" w:rsidP="00F13C87"/>
    <w:p w:rsidR="00F13C87" w:rsidRPr="00F13C87" w:rsidRDefault="00F13C87" w:rsidP="00F13C87">
      <w:pPr>
        <w:rPr>
          <w:b/>
        </w:rPr>
      </w:pPr>
      <w:r w:rsidRPr="00F13C87">
        <mc:AlternateContent>
          <mc:Choice Requires="wps">
            <w:drawing>
              <wp:anchor distT="0" distB="0" distL="114300" distR="114300" simplePos="0" relativeHeight="251661312" behindDoc="1" locked="0" layoutInCell="1" allowOverlap="1" wp14:anchorId="437F600A" wp14:editId="08944A42">
                <wp:simplePos x="0" y="0"/>
                <wp:positionH relativeFrom="column">
                  <wp:posOffset>2200275</wp:posOffset>
                </wp:positionH>
                <wp:positionV relativeFrom="paragraph">
                  <wp:posOffset>309245</wp:posOffset>
                </wp:positionV>
                <wp:extent cx="1828800" cy="1828800"/>
                <wp:effectExtent l="1104900" t="0" r="1129030" b="0"/>
                <wp:wrapNone/>
                <wp:docPr id="3" name="Text Box 3"/>
                <wp:cNvGraphicFramePr/>
                <a:graphic xmlns:a="http://schemas.openxmlformats.org/drawingml/2006/main">
                  <a:graphicData uri="http://schemas.microsoft.com/office/word/2010/wordprocessingShape">
                    <wps:wsp>
                      <wps:cNvSpPr txBox="1"/>
                      <wps:spPr>
                        <a:xfrm rot="3513848">
                          <a:off x="0" y="0"/>
                          <a:ext cx="1828800" cy="1828800"/>
                        </a:xfrm>
                        <a:prstGeom prst="rect">
                          <a:avLst/>
                        </a:prstGeom>
                        <a:noFill/>
                        <a:ln>
                          <a:noFill/>
                        </a:ln>
                      </wps:spPr>
                      <wps:txbx>
                        <w:txbxContent>
                          <w:p w:rsidR="00F13C87" w:rsidRPr="001231FB" w:rsidRDefault="00F13C87" w:rsidP="00F13C87">
                            <w:pPr>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SAMPLE GOOD PRACTICE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37F600A" id="Text Box 3" o:spid="_x0000_s1028" type="#_x0000_t202" style="position:absolute;margin-left:173.25pt;margin-top:24.35pt;width:2in;height:2in;rotation:3838059fd;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" filled="f" stroked="f">
                <v:fill o:detectmouseclick="t"/>
                <v:textbox style="mso-fit-shape-to-text:t">
                  <w:txbxContent>
                    <w:p w:rsidR="00F13C87" w:rsidRPr="001231FB" w:rsidRDefault="00F13C87" w:rsidP="00F13C87">
                      <w:pPr>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SAMPLE GOOD PRACTICE</w:t>
                      </w:r>
                    </w:p>
                  </w:txbxContent>
                </v:textbox>
              </v:shape>
            </w:pict>
          </mc:Fallback>
        </mc:AlternateContent>
      </w:r>
      <w:r w:rsidRPr="00F13C87">
        <w:rPr>
          <w:b/>
        </w:rPr>
        <w:t>Rating according to their level of application (</w:t>
      </w:r>
      <w:proofErr w:type="gramStart"/>
      <w:r w:rsidRPr="00F13C87">
        <w:rPr>
          <w:b/>
        </w:rPr>
        <w:t>1..</w:t>
      </w:r>
      <w:proofErr w:type="gramEnd"/>
      <w:r w:rsidRPr="00F13C87">
        <w:rPr>
          <w:b/>
        </w:rPr>
        <w:t xml:space="preserve">10),  a value of 10 means that it has a strong level of application. </w:t>
      </w:r>
    </w:p>
    <w:tbl>
      <w:tblPr>
        <w:tblStyle w:val="TableGrid"/>
        <w:tblW w:w="5722" w:type="dxa"/>
        <w:tblLook w:val="04A0" w:firstRow="1" w:lastRow="0" w:firstColumn="1" w:lastColumn="0" w:noHBand="0" w:noVBand="1"/>
      </w:tblPr>
      <w:tblGrid>
        <w:gridCol w:w="329"/>
        <w:gridCol w:w="222"/>
        <w:gridCol w:w="328"/>
        <w:gridCol w:w="222"/>
        <w:gridCol w:w="328"/>
        <w:gridCol w:w="222"/>
        <w:gridCol w:w="328"/>
        <w:gridCol w:w="222"/>
        <w:gridCol w:w="328"/>
        <w:gridCol w:w="222"/>
        <w:gridCol w:w="328"/>
        <w:gridCol w:w="222"/>
        <w:gridCol w:w="328"/>
        <w:gridCol w:w="222"/>
        <w:gridCol w:w="328"/>
        <w:gridCol w:w="222"/>
        <w:gridCol w:w="328"/>
        <w:gridCol w:w="222"/>
        <w:gridCol w:w="440"/>
        <w:gridCol w:w="331"/>
      </w:tblGrid>
      <w:tr w:rsidR="00F13C87" w:rsidRPr="00F13C87" w:rsidTr="00A81DF7">
        <w:tc>
          <w:tcPr>
            <w:tcW w:w="338" w:type="dxa"/>
            <w:tcBorders>
              <w:top w:val="single" w:sz="4" w:space="0" w:color="auto"/>
              <w:left w:val="single" w:sz="4" w:space="0" w:color="auto"/>
              <w:bottom w:val="single" w:sz="4" w:space="0" w:color="auto"/>
              <w:right w:val="single" w:sz="4" w:space="0" w:color="auto"/>
            </w:tcBorders>
            <w:hideMark/>
          </w:tcPr>
          <w:p w:rsidR="00F13C87" w:rsidRPr="00F13C87" w:rsidRDefault="00F13C87" w:rsidP="00F13C87">
            <w:pPr>
              <w:spacing w:after="160" w:line="259" w:lineRule="auto"/>
            </w:pPr>
            <w:r w:rsidRPr="00F13C87">
              <w:t>1</w:t>
            </w:r>
          </w:p>
        </w:tc>
        <w:tc>
          <w:tcPr>
            <w:tcW w:w="222" w:type="dxa"/>
            <w:tcBorders>
              <w:top w:val="single" w:sz="4" w:space="0" w:color="auto"/>
              <w:left w:val="single" w:sz="4" w:space="0" w:color="auto"/>
              <w:bottom w:val="single" w:sz="4" w:space="0" w:color="auto"/>
              <w:right w:val="single" w:sz="4" w:space="0" w:color="auto"/>
            </w:tcBorders>
          </w:tcPr>
          <w:p w:rsidR="00F13C87" w:rsidRPr="00F13C87" w:rsidRDefault="00F13C87" w:rsidP="00F13C87">
            <w:pPr>
              <w:spacing w:after="160" w:line="259" w:lineRule="auto"/>
            </w:pPr>
          </w:p>
        </w:tc>
        <w:tc>
          <w:tcPr>
            <w:tcW w:w="338" w:type="dxa"/>
            <w:tcBorders>
              <w:top w:val="single" w:sz="4" w:space="0" w:color="auto"/>
              <w:left w:val="single" w:sz="4" w:space="0" w:color="auto"/>
              <w:bottom w:val="single" w:sz="4" w:space="0" w:color="auto"/>
              <w:right w:val="single" w:sz="4" w:space="0" w:color="auto"/>
            </w:tcBorders>
            <w:hideMark/>
          </w:tcPr>
          <w:p w:rsidR="00F13C87" w:rsidRPr="00F13C87" w:rsidRDefault="00F13C87" w:rsidP="00F13C87">
            <w:pPr>
              <w:spacing w:after="160" w:line="259" w:lineRule="auto"/>
            </w:pPr>
            <w:r w:rsidRPr="00F13C87">
              <w:t>2</w:t>
            </w:r>
          </w:p>
        </w:tc>
        <w:tc>
          <w:tcPr>
            <w:tcW w:w="222" w:type="dxa"/>
            <w:tcBorders>
              <w:top w:val="single" w:sz="4" w:space="0" w:color="auto"/>
              <w:left w:val="single" w:sz="4" w:space="0" w:color="auto"/>
              <w:bottom w:val="single" w:sz="4" w:space="0" w:color="auto"/>
              <w:right w:val="single" w:sz="4" w:space="0" w:color="auto"/>
            </w:tcBorders>
          </w:tcPr>
          <w:p w:rsidR="00F13C87" w:rsidRPr="00F13C87" w:rsidRDefault="00F13C87" w:rsidP="00F13C87">
            <w:pPr>
              <w:spacing w:after="160" w:line="259" w:lineRule="auto"/>
            </w:pPr>
          </w:p>
        </w:tc>
        <w:tc>
          <w:tcPr>
            <w:tcW w:w="338" w:type="dxa"/>
            <w:tcBorders>
              <w:top w:val="single" w:sz="4" w:space="0" w:color="auto"/>
              <w:left w:val="single" w:sz="4" w:space="0" w:color="auto"/>
              <w:bottom w:val="single" w:sz="4" w:space="0" w:color="auto"/>
              <w:right w:val="single" w:sz="4" w:space="0" w:color="auto"/>
            </w:tcBorders>
            <w:hideMark/>
          </w:tcPr>
          <w:p w:rsidR="00F13C87" w:rsidRPr="00F13C87" w:rsidRDefault="00F13C87" w:rsidP="00F13C87">
            <w:pPr>
              <w:spacing w:after="160" w:line="259" w:lineRule="auto"/>
            </w:pPr>
            <w:r w:rsidRPr="00F13C87">
              <w:t>3</w:t>
            </w:r>
          </w:p>
        </w:tc>
        <w:tc>
          <w:tcPr>
            <w:tcW w:w="222" w:type="dxa"/>
            <w:tcBorders>
              <w:top w:val="single" w:sz="4" w:space="0" w:color="auto"/>
              <w:left w:val="single" w:sz="4" w:space="0" w:color="auto"/>
              <w:bottom w:val="single" w:sz="4" w:space="0" w:color="auto"/>
              <w:right w:val="single" w:sz="4" w:space="0" w:color="auto"/>
            </w:tcBorders>
          </w:tcPr>
          <w:p w:rsidR="00F13C87" w:rsidRPr="00F13C87" w:rsidRDefault="00F13C87" w:rsidP="00F13C87">
            <w:pPr>
              <w:spacing w:after="160" w:line="259" w:lineRule="auto"/>
            </w:pPr>
          </w:p>
        </w:tc>
        <w:tc>
          <w:tcPr>
            <w:tcW w:w="338" w:type="dxa"/>
            <w:tcBorders>
              <w:top w:val="single" w:sz="4" w:space="0" w:color="auto"/>
              <w:left w:val="single" w:sz="4" w:space="0" w:color="auto"/>
              <w:bottom w:val="single" w:sz="4" w:space="0" w:color="auto"/>
              <w:right w:val="single" w:sz="4" w:space="0" w:color="auto"/>
            </w:tcBorders>
            <w:hideMark/>
          </w:tcPr>
          <w:p w:rsidR="00F13C87" w:rsidRPr="00F13C87" w:rsidRDefault="00F13C87" w:rsidP="00F13C87">
            <w:pPr>
              <w:spacing w:after="160" w:line="259" w:lineRule="auto"/>
            </w:pPr>
            <w:r w:rsidRPr="00F13C87">
              <w:t>4</w:t>
            </w:r>
          </w:p>
        </w:tc>
        <w:tc>
          <w:tcPr>
            <w:tcW w:w="222" w:type="dxa"/>
            <w:tcBorders>
              <w:top w:val="single" w:sz="4" w:space="0" w:color="auto"/>
              <w:left w:val="single" w:sz="4" w:space="0" w:color="auto"/>
              <w:bottom w:val="single" w:sz="4" w:space="0" w:color="auto"/>
              <w:right w:val="single" w:sz="4" w:space="0" w:color="auto"/>
            </w:tcBorders>
          </w:tcPr>
          <w:p w:rsidR="00F13C87" w:rsidRPr="00F13C87" w:rsidRDefault="00F13C87" w:rsidP="00F13C87">
            <w:pPr>
              <w:spacing w:after="160" w:line="259" w:lineRule="auto"/>
            </w:pPr>
          </w:p>
        </w:tc>
        <w:tc>
          <w:tcPr>
            <w:tcW w:w="338" w:type="dxa"/>
            <w:tcBorders>
              <w:top w:val="single" w:sz="4" w:space="0" w:color="auto"/>
              <w:left w:val="single" w:sz="4" w:space="0" w:color="auto"/>
              <w:bottom w:val="single" w:sz="4" w:space="0" w:color="auto"/>
              <w:right w:val="single" w:sz="4" w:space="0" w:color="auto"/>
            </w:tcBorders>
            <w:hideMark/>
          </w:tcPr>
          <w:p w:rsidR="00F13C87" w:rsidRPr="00F13C87" w:rsidRDefault="00F13C87" w:rsidP="00F13C87">
            <w:pPr>
              <w:spacing w:after="160" w:line="259" w:lineRule="auto"/>
            </w:pPr>
            <w:r w:rsidRPr="00F13C87">
              <w:t>5</w:t>
            </w:r>
          </w:p>
        </w:tc>
        <w:tc>
          <w:tcPr>
            <w:tcW w:w="222" w:type="dxa"/>
            <w:tcBorders>
              <w:top w:val="single" w:sz="4" w:space="0" w:color="auto"/>
              <w:left w:val="single" w:sz="4" w:space="0" w:color="auto"/>
              <w:bottom w:val="single" w:sz="4" w:space="0" w:color="auto"/>
              <w:right w:val="single" w:sz="4" w:space="0" w:color="auto"/>
            </w:tcBorders>
          </w:tcPr>
          <w:p w:rsidR="00F13C87" w:rsidRPr="00F13C87" w:rsidRDefault="00F13C87" w:rsidP="00F13C87">
            <w:pPr>
              <w:spacing w:after="160" w:line="259" w:lineRule="auto"/>
            </w:pPr>
          </w:p>
        </w:tc>
        <w:tc>
          <w:tcPr>
            <w:tcW w:w="338" w:type="dxa"/>
            <w:tcBorders>
              <w:top w:val="single" w:sz="4" w:space="0" w:color="auto"/>
              <w:left w:val="single" w:sz="4" w:space="0" w:color="auto"/>
              <w:bottom w:val="single" w:sz="4" w:space="0" w:color="auto"/>
              <w:right w:val="single" w:sz="4" w:space="0" w:color="auto"/>
            </w:tcBorders>
            <w:hideMark/>
          </w:tcPr>
          <w:p w:rsidR="00F13C87" w:rsidRPr="00F13C87" w:rsidRDefault="00F13C87" w:rsidP="00F13C87">
            <w:pPr>
              <w:spacing w:after="160" w:line="259" w:lineRule="auto"/>
            </w:pPr>
            <w:r w:rsidRPr="00F13C87">
              <w:t>6</w:t>
            </w:r>
          </w:p>
        </w:tc>
        <w:tc>
          <w:tcPr>
            <w:tcW w:w="222" w:type="dxa"/>
            <w:tcBorders>
              <w:top w:val="single" w:sz="4" w:space="0" w:color="auto"/>
              <w:left w:val="single" w:sz="4" w:space="0" w:color="auto"/>
              <w:bottom w:val="single" w:sz="4" w:space="0" w:color="auto"/>
              <w:right w:val="single" w:sz="4" w:space="0" w:color="auto"/>
            </w:tcBorders>
          </w:tcPr>
          <w:p w:rsidR="00F13C87" w:rsidRPr="00F13C87" w:rsidRDefault="00F13C87" w:rsidP="00F13C87">
            <w:pPr>
              <w:spacing w:after="160" w:line="259" w:lineRule="auto"/>
            </w:pPr>
          </w:p>
        </w:tc>
        <w:tc>
          <w:tcPr>
            <w:tcW w:w="338" w:type="dxa"/>
            <w:tcBorders>
              <w:top w:val="single" w:sz="4" w:space="0" w:color="auto"/>
              <w:left w:val="single" w:sz="4" w:space="0" w:color="auto"/>
              <w:bottom w:val="single" w:sz="4" w:space="0" w:color="auto"/>
              <w:right w:val="single" w:sz="4" w:space="0" w:color="auto"/>
            </w:tcBorders>
            <w:hideMark/>
          </w:tcPr>
          <w:p w:rsidR="00F13C87" w:rsidRPr="00F13C87" w:rsidRDefault="00F13C87" w:rsidP="00F13C87">
            <w:pPr>
              <w:spacing w:after="160" w:line="259" w:lineRule="auto"/>
            </w:pPr>
            <w:r w:rsidRPr="00F13C87">
              <w:t>7</w:t>
            </w:r>
          </w:p>
        </w:tc>
        <w:tc>
          <w:tcPr>
            <w:tcW w:w="222" w:type="dxa"/>
            <w:tcBorders>
              <w:top w:val="single" w:sz="4" w:space="0" w:color="auto"/>
              <w:left w:val="single" w:sz="4" w:space="0" w:color="auto"/>
              <w:bottom w:val="single" w:sz="4" w:space="0" w:color="auto"/>
              <w:right w:val="single" w:sz="4" w:space="0" w:color="auto"/>
            </w:tcBorders>
          </w:tcPr>
          <w:p w:rsidR="00F13C87" w:rsidRPr="00F13C87" w:rsidRDefault="00F13C87" w:rsidP="00F13C87">
            <w:pPr>
              <w:spacing w:after="160" w:line="259" w:lineRule="auto"/>
            </w:pPr>
          </w:p>
        </w:tc>
        <w:tc>
          <w:tcPr>
            <w:tcW w:w="338" w:type="dxa"/>
            <w:tcBorders>
              <w:top w:val="single" w:sz="4" w:space="0" w:color="auto"/>
              <w:left w:val="single" w:sz="4" w:space="0" w:color="auto"/>
              <w:bottom w:val="single" w:sz="4" w:space="0" w:color="auto"/>
              <w:right w:val="single" w:sz="4" w:space="0" w:color="auto"/>
            </w:tcBorders>
            <w:hideMark/>
          </w:tcPr>
          <w:p w:rsidR="00F13C87" w:rsidRPr="00F13C87" w:rsidRDefault="00F13C87" w:rsidP="00F13C87">
            <w:pPr>
              <w:spacing w:after="160" w:line="259" w:lineRule="auto"/>
            </w:pPr>
            <w:r w:rsidRPr="00F13C87">
              <w:t>8</w:t>
            </w:r>
          </w:p>
        </w:tc>
        <w:tc>
          <w:tcPr>
            <w:tcW w:w="222" w:type="dxa"/>
            <w:tcBorders>
              <w:top w:val="single" w:sz="4" w:space="0" w:color="auto"/>
              <w:left w:val="single" w:sz="4" w:space="0" w:color="auto"/>
              <w:bottom w:val="single" w:sz="4" w:space="0" w:color="auto"/>
              <w:right w:val="single" w:sz="4" w:space="0" w:color="auto"/>
            </w:tcBorders>
          </w:tcPr>
          <w:p w:rsidR="00F13C87" w:rsidRPr="00F13C87" w:rsidRDefault="00F13C87" w:rsidP="00F13C87">
            <w:pPr>
              <w:spacing w:after="160" w:line="259" w:lineRule="auto"/>
            </w:pPr>
          </w:p>
        </w:tc>
        <w:tc>
          <w:tcPr>
            <w:tcW w:w="338" w:type="dxa"/>
            <w:tcBorders>
              <w:top w:val="single" w:sz="4" w:space="0" w:color="auto"/>
              <w:left w:val="single" w:sz="4" w:space="0" w:color="auto"/>
              <w:bottom w:val="single" w:sz="4" w:space="0" w:color="auto"/>
              <w:right w:val="single" w:sz="4" w:space="0" w:color="auto"/>
            </w:tcBorders>
            <w:hideMark/>
          </w:tcPr>
          <w:p w:rsidR="00F13C87" w:rsidRPr="00F13C87" w:rsidRDefault="00F13C87" w:rsidP="00F13C87">
            <w:pPr>
              <w:spacing w:after="160" w:line="259" w:lineRule="auto"/>
            </w:pPr>
            <w:r w:rsidRPr="00F13C87">
              <w:t>9</w:t>
            </w:r>
          </w:p>
        </w:tc>
        <w:tc>
          <w:tcPr>
            <w:tcW w:w="222" w:type="dxa"/>
            <w:tcBorders>
              <w:top w:val="single" w:sz="4" w:space="0" w:color="auto"/>
              <w:left w:val="single" w:sz="4" w:space="0" w:color="auto"/>
              <w:bottom w:val="single" w:sz="4" w:space="0" w:color="auto"/>
              <w:right w:val="single" w:sz="4" w:space="0" w:color="auto"/>
            </w:tcBorders>
          </w:tcPr>
          <w:p w:rsidR="00F13C87" w:rsidRPr="00F13C87" w:rsidRDefault="00F13C87" w:rsidP="00F13C87">
            <w:pPr>
              <w:spacing w:after="160" w:line="259" w:lineRule="auto"/>
            </w:pPr>
          </w:p>
        </w:tc>
        <w:tc>
          <w:tcPr>
            <w:tcW w:w="460" w:type="dxa"/>
            <w:tcBorders>
              <w:top w:val="single" w:sz="4" w:space="0" w:color="auto"/>
              <w:left w:val="single" w:sz="4" w:space="0" w:color="auto"/>
              <w:bottom w:val="single" w:sz="4" w:space="0" w:color="auto"/>
              <w:right w:val="single" w:sz="4" w:space="0" w:color="auto"/>
            </w:tcBorders>
            <w:hideMark/>
          </w:tcPr>
          <w:p w:rsidR="00F13C87" w:rsidRPr="00F13C87" w:rsidRDefault="00F13C87" w:rsidP="00F13C87">
            <w:pPr>
              <w:spacing w:after="160" w:line="259" w:lineRule="auto"/>
            </w:pPr>
            <w:r w:rsidRPr="00F13C87">
              <w:t>10</w:t>
            </w:r>
          </w:p>
        </w:tc>
        <w:tc>
          <w:tcPr>
            <w:tcW w:w="222" w:type="dxa"/>
            <w:tcBorders>
              <w:top w:val="single" w:sz="4" w:space="0" w:color="auto"/>
              <w:left w:val="single" w:sz="4" w:space="0" w:color="auto"/>
              <w:bottom w:val="single" w:sz="4" w:space="0" w:color="auto"/>
              <w:right w:val="single" w:sz="4" w:space="0" w:color="auto"/>
            </w:tcBorders>
          </w:tcPr>
          <w:p w:rsidR="00F13C87" w:rsidRPr="00F13C87" w:rsidRDefault="00F13C87" w:rsidP="00F13C87">
            <w:pPr>
              <w:spacing w:after="160" w:line="259" w:lineRule="auto"/>
            </w:pPr>
            <w:r w:rsidRPr="00F13C87">
              <w:t>X</w:t>
            </w:r>
          </w:p>
        </w:tc>
      </w:tr>
    </w:tbl>
    <w:p w:rsidR="00F13C87" w:rsidRPr="00F13C87" w:rsidRDefault="00F13C87" w:rsidP="00F13C87">
      <w:pPr>
        <w:rPr>
          <w:b/>
        </w:rPr>
      </w:pPr>
      <w:r w:rsidRPr="00F13C87">
        <w:rPr>
          <w:b/>
        </w:rPr>
        <w:t>Less application ………………………………………………… Strong application</w:t>
      </w:r>
    </w:p>
    <w:p w:rsidR="00F13C87" w:rsidRPr="00F13C87" w:rsidRDefault="00F13C87" w:rsidP="00F13C87">
      <w:pPr>
        <w:rPr>
          <w:b/>
        </w:rPr>
      </w:pPr>
    </w:p>
    <w:p w:rsidR="00F13C87" w:rsidRPr="00F13C87" w:rsidRDefault="00F13C87" w:rsidP="00F13C87"/>
    <w:p w:rsidR="00BD0FEE" w:rsidRDefault="00BD0FEE">
      <w:bookmarkStart w:id="0" w:name="_GoBack"/>
      <w:bookmarkEnd w:id="0"/>
    </w:p>
    <w:sectPr w:rsidR="00BD0FEE" w:rsidSect="0017746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87"/>
    <w:rsid w:val="00177464"/>
    <w:rsid w:val="002144DE"/>
    <w:rsid w:val="003D3E82"/>
    <w:rsid w:val="006E3824"/>
    <w:rsid w:val="006F4DDA"/>
    <w:rsid w:val="0089065A"/>
    <w:rsid w:val="00AB497E"/>
    <w:rsid w:val="00BD0FEE"/>
    <w:rsid w:val="00BE7990"/>
    <w:rsid w:val="00EB59D8"/>
    <w:rsid w:val="00F13C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2F522-C4F4-4520-8CCE-2ADA498E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3C87"/>
    <w:rPr>
      <w:color w:val="0000FF" w:themeColor="hyperlink"/>
      <w:u w:val="single"/>
    </w:rPr>
  </w:style>
  <w:style w:type="character" w:styleId="UnresolvedMention">
    <w:name w:val="Unresolved Mention"/>
    <w:basedOn w:val="DefaultParagraphFont"/>
    <w:uiPriority w:val="99"/>
    <w:semiHidden/>
    <w:unhideWhenUsed/>
    <w:rsid w:val="00F13C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nieg.mx" TargetMode="External"/><Relationship Id="rId5" Type="http://schemas.openxmlformats.org/officeDocument/2006/relationships/hyperlink" Target="http://www.snieg.mx"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Cecille Blake</dc:creator>
  <cp:keywords/>
  <dc:description/>
  <cp:lastModifiedBy>Cecille Blake</cp:lastModifiedBy>
  <cp:revision>1</cp:revision>
  <dcterms:created xsi:type="dcterms:W3CDTF">2017-11-24T20:37:00Z</dcterms:created>
  <dcterms:modified xsi:type="dcterms:W3CDTF">2017-11-24T20:38:00Z</dcterms:modified>
</cp:coreProperties>
</file>